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60"/>
        <w:jc w:val="center"/>
        <w:rPr/>
      </w:pPr>
      <w:r>
        <w:rPr>
          <w:b/>
          <w:bCs/>
          <w:color w:val="1F3864"/>
          <w:sz w:val="26"/>
          <w:szCs w:val="26"/>
        </w:rPr>
        <w:t>КОМЕРЦІЙНА ПРОПОЗИЦІЯ № 2</w:t>
      </w:r>
    </w:p>
    <w:p>
      <w:pPr>
        <w:pStyle w:val="Normal"/>
        <w:spacing w:before="0" w:after="260"/>
        <w:jc w:val="center"/>
        <w:rPr/>
      </w:pPr>
      <w:r>
        <w:rPr>
          <w:b/>
          <w:bCs/>
          <w:color w:val="1F3864"/>
        </w:rPr>
        <w:t>за вільними цінами (без розподілу електричної енергії)</w:t>
      </w:r>
    </w:p>
    <w:p>
      <w:pPr>
        <w:pStyle w:val="Normal"/>
        <w:spacing w:before="0" w:after="160"/>
        <w:jc w:val="both"/>
        <w:rPr/>
      </w:pPr>
      <w:r>
        <w:rPr/>
        <w:t>Товариство з обмеженою відповідальністю «УКРГАЗТРЕЙДИНГ» (далі – Постачальник), яке здійснює господарську діяльність на підставі ліцензії на право провадження господарської діяльності з постачання електричної енергії споживачу, пропонує необмеженому колу споживачів електричної енергії, які відповідають критеріям, встановленим чинним законодавством, укласти договір про постачання електричної енергії споживачу (далі – Договір) на умовах цієї Комерційної пропозиції.</w:t>
      </w:r>
    </w:p>
    <w:p>
      <w:pPr>
        <w:pStyle w:val="Normal"/>
        <w:spacing w:before="0" w:after="160"/>
        <w:jc w:val="both"/>
        <w:rPr/>
      </w:pPr>
      <w:r>
        <w:rPr/>
        <w:t>Комерційна пропозиція розроблена відповідно до вимог Закону України «Про ринок електричної енергії», Правил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 від 14.03.2018 № 312 (далі – ПРРЕЕ), Цивільного та Господарського кодексів України, а також іншого чинного законодавства.</w:t>
      </w:r>
    </w:p>
    <w:p>
      <w:pPr>
        <w:pStyle w:val="Normal"/>
        <w:spacing w:before="0" w:after="260"/>
        <w:jc w:val="both"/>
        <w:rPr/>
      </w:pPr>
      <w:r>
        <w:rPr/>
      </w:r>
    </w:p>
    <w:tbl>
      <w:tblPr>
        <w:tblW w:w="9700" w:type="dxa"/>
        <w:jc w:val="left"/>
        <w:tblInd w:w="0" w:type="dxa"/>
        <w:tblLayout w:type="fixed"/>
        <w:tblCellMar>
          <w:top w:w="60" w:type="dxa"/>
          <w:left w:w="90" w:type="dxa"/>
          <w:bottom w:w="60" w:type="dxa"/>
          <w:right w:w="90" w:type="dxa"/>
        </w:tblCellMar>
        <w:tblLook w:val="04a0" w:noHBand="0" w:noVBand="1" w:firstColumn="1" w:lastRow="0" w:lastColumn="0" w:firstRow="1"/>
      </w:tblPr>
      <w:tblGrid>
        <w:gridCol w:w="450"/>
        <w:gridCol w:w="2900"/>
        <w:gridCol w:w="6350"/>
      </w:tblGrid>
      <w:tr>
        <w:trPr>
          <w:tblHeader w:val="true"/>
        </w:trPr>
        <w:tc>
          <w:tcPr>
            <w:tcW w:w="450" w:type="dxa"/>
            <w:tcBorders>
              <w:top w:val="single" w:sz="2" w:space="0" w:color="999999"/>
              <w:left w:val="single" w:sz="2" w:space="0" w:color="999999"/>
              <w:bottom w:val="single" w:sz="2" w:space="0" w:color="999999"/>
              <w:right w:val="single" w:sz="2" w:space="0" w:color="999999"/>
            </w:tcBorders>
            <w:shd w:color="auto" w:fill="1F3864" w:val="clear"/>
            <w:vAlign w:val="center"/>
          </w:tcPr>
          <w:p>
            <w:pPr>
              <w:pStyle w:val="Normal"/>
              <w:widowControl w:val="false"/>
              <w:spacing w:lineRule="auto" w:line="259" w:before="0" w:after="80"/>
              <w:jc w:val="center"/>
              <w:rPr/>
            </w:pPr>
            <w:r>
              <w:rPr>
                <w:b/>
                <w:bCs/>
                <w:color w:val="FFFFFF"/>
              </w:rPr>
              <w:t>№</w:t>
            </w:r>
          </w:p>
        </w:tc>
        <w:tc>
          <w:tcPr>
            <w:tcW w:w="2900" w:type="dxa"/>
            <w:tcBorders>
              <w:top w:val="single" w:sz="2" w:space="0" w:color="999999"/>
              <w:left w:val="single" w:sz="2" w:space="0" w:color="999999"/>
              <w:bottom w:val="single" w:sz="2" w:space="0" w:color="999999"/>
              <w:right w:val="single" w:sz="2" w:space="0" w:color="999999"/>
            </w:tcBorders>
            <w:shd w:color="auto" w:fill="1F3864" w:val="clear"/>
            <w:vAlign w:val="center"/>
          </w:tcPr>
          <w:p>
            <w:pPr>
              <w:pStyle w:val="Normal"/>
              <w:widowControl w:val="false"/>
              <w:spacing w:lineRule="auto" w:line="259" w:before="0" w:after="80"/>
              <w:rPr/>
            </w:pPr>
            <w:r>
              <w:rPr>
                <w:b/>
                <w:bCs/>
                <w:color w:val="FFFFFF"/>
              </w:rPr>
              <w:t>Показник</w:t>
            </w:r>
          </w:p>
        </w:tc>
        <w:tc>
          <w:tcPr>
            <w:tcW w:w="6350" w:type="dxa"/>
            <w:tcBorders>
              <w:top w:val="single" w:sz="2" w:space="0" w:color="999999"/>
              <w:left w:val="single" w:sz="2" w:space="0" w:color="999999"/>
              <w:bottom w:val="single" w:sz="2" w:space="0" w:color="999999"/>
              <w:right w:val="single" w:sz="2" w:space="0" w:color="999999"/>
            </w:tcBorders>
            <w:shd w:color="auto" w:fill="1F3864" w:val="clear"/>
            <w:vAlign w:val="center"/>
          </w:tcPr>
          <w:p>
            <w:pPr>
              <w:pStyle w:val="Normal"/>
              <w:widowControl w:val="false"/>
              <w:spacing w:lineRule="auto" w:line="259" w:before="0" w:after="80"/>
              <w:rPr/>
            </w:pPr>
            <w:r>
              <w:rPr>
                <w:b/>
                <w:bCs/>
                <w:color w:val="FFFFFF"/>
              </w:rPr>
              <w:t>Зміст</w:t>
            </w:r>
          </w:p>
        </w:tc>
      </w:tr>
      <w:tr>
        <w:trPr/>
        <w:tc>
          <w:tcPr>
            <w:tcW w:w="4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jc w:val="center"/>
              <w:rPr/>
            </w:pPr>
            <w:r>
              <w:rPr/>
              <w:t>1</w:t>
            </w:r>
          </w:p>
        </w:tc>
        <w:tc>
          <w:tcPr>
            <w:tcW w:w="290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b/>
                <w:bCs/>
              </w:rPr>
              <w:t>Територія, на якій дійсна дана комерційна пропозиція</w:t>
            </w:r>
          </w:p>
        </w:tc>
        <w:tc>
          <w:tcPr>
            <w:tcW w:w="63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t>Вся територія України.</w:t>
            </w:r>
          </w:p>
        </w:tc>
      </w:tr>
      <w:tr>
        <w:trPr/>
        <w:tc>
          <w:tcPr>
            <w:tcW w:w="4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jc w:val="center"/>
              <w:rPr/>
            </w:pPr>
            <w:r>
              <w:rPr/>
              <w:t>2</w:t>
            </w:r>
          </w:p>
        </w:tc>
        <w:tc>
          <w:tcPr>
            <w:tcW w:w="290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b/>
                <w:bCs/>
              </w:rPr>
              <w:t>Ціна (тариф) електричної енергії, у тому числі диференційовані ціни (тарифи), та механізм її визначення</w:t>
            </w:r>
          </w:p>
        </w:tc>
        <w:tc>
          <w:tcPr>
            <w:tcW w:w="63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rPr/>
            </w:pPr>
            <w:r>
              <w:rPr/>
              <w:t xml:space="preserve"> </w:t>
            </w:r>
            <w:r>
              <w:rPr/>
              <w:t>Базова ціна за 1 (один) МВт.г електричної енергії без ПДВ, розраховується за такою формулою:</w:t>
            </w:r>
          </w:p>
          <w:p>
            <w:pPr>
              <w:pStyle w:val="Normal"/>
              <w:widowControl w:val="false"/>
              <w:rPr/>
            </w:pPr>
            <w:r>
              <w:rPr/>
            </w:r>
          </w:p>
          <w:p>
            <w:pPr>
              <w:pStyle w:val="Normal"/>
              <w:widowControl w:val="false"/>
              <w:rPr/>
            </w:pPr>
            <w:r>
              <w:rPr/>
              <w:t xml:space="preserve">       </w:t>
            </w:r>
            <w:r>
              <w:rPr/>
              <w:t>Цб= Цф + Тпер, де</w:t>
            </w:r>
          </w:p>
          <w:p>
            <w:pPr>
              <w:pStyle w:val="Normal"/>
              <w:widowControl w:val="false"/>
              <w:rPr/>
            </w:pPr>
            <w:r>
              <w:rPr/>
            </w:r>
          </w:p>
          <w:p>
            <w:pPr>
              <w:pStyle w:val="Normal"/>
              <w:widowControl w:val="false"/>
              <w:rPr/>
            </w:pPr>
            <w:r>
              <w:rPr/>
              <w:t>Цб</w:t>
              <w:tab/>
              <w:t>– базова ціна, грн./МВт.г без ПДВ;</w:t>
            </w:r>
          </w:p>
          <w:p>
            <w:pPr>
              <w:pStyle w:val="Normal"/>
              <w:widowControl w:val="false"/>
              <w:rPr/>
            </w:pPr>
            <w:r>
              <w:rPr/>
              <w:t xml:space="preserve">Цф       – фіксована ціна за договором постачання згідно Комерційної пропозиції на жовтень 2026 року, що складає 7 900 грн/МВт.г; </w:t>
            </w:r>
          </w:p>
          <w:p>
            <w:pPr>
              <w:pStyle w:val="Normal"/>
              <w:widowControl w:val="false"/>
              <w:rPr/>
            </w:pPr>
            <w:r>
              <w:rPr/>
              <w:t>Тпер</w:t>
              <w:tab/>
              <w:t>– тариф на послугу з передачі електричної енергії, який зтверджений постановою НКРЕКП.</w:t>
            </w:r>
          </w:p>
          <w:p>
            <w:pPr>
              <w:pStyle w:val="Normal"/>
              <w:widowControl w:val="false"/>
              <w:rPr/>
            </w:pPr>
            <w:r>
              <w:rPr/>
            </w:r>
          </w:p>
          <w:p>
            <w:pPr>
              <w:pStyle w:val="Normal"/>
              <w:widowControl w:val="false"/>
              <w:rPr/>
            </w:pPr>
            <w:r>
              <w:rPr/>
            </w:r>
          </w:p>
          <w:p>
            <w:pPr>
              <w:pStyle w:val="Normal"/>
              <w:widowControl w:val="false"/>
              <w:rPr/>
            </w:pPr>
            <w:r>
              <w:rPr/>
              <w:t xml:space="preserve"> </w:t>
            </w:r>
            <w:r>
              <w:rPr/>
              <w:t>Фіксована ціна за договором постачання за розрахунковий період жовтень 2026 складає 7 900 грн/МВт.г. Фіксована ціна не включає в себе тариф на послуги з передачі електричної енергії.</w:t>
            </w:r>
          </w:p>
          <w:p>
            <w:pPr>
              <w:pStyle w:val="Normal"/>
              <w:widowControl w:val="false"/>
              <w:spacing w:lineRule="auto" w:line="259" w:before="0" w:after="80"/>
              <w:rPr/>
            </w:pPr>
            <w:r>
              <w:rPr/>
            </w:r>
          </w:p>
        </w:tc>
      </w:tr>
      <w:tr>
        <w:trPr/>
        <w:tc>
          <w:tcPr>
            <w:tcW w:w="4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jc w:val="center"/>
              <w:rPr/>
            </w:pPr>
            <w:r>
              <w:rPr/>
              <w:t>3</w:t>
            </w:r>
          </w:p>
        </w:tc>
        <w:tc>
          <w:tcPr>
            <w:tcW w:w="290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b/>
                <w:bCs/>
              </w:rPr>
              <w:t>Спосіб оплати</w:t>
            </w:r>
          </w:p>
        </w:tc>
        <w:tc>
          <w:tcPr>
            <w:tcW w:w="63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t>По факту за розрахунковий період на підставі рахунку Постачальника, шляхом перерахування коштів на рахунок Постачальника зі спеціальним режимом використання.</w:t>
            </w:r>
          </w:p>
        </w:tc>
      </w:tr>
      <w:tr>
        <w:trPr/>
        <w:tc>
          <w:tcPr>
            <w:tcW w:w="4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jc w:val="center"/>
              <w:rPr/>
            </w:pPr>
            <w:r>
              <w:rPr/>
              <w:t>4</w:t>
            </w:r>
          </w:p>
        </w:tc>
        <w:tc>
          <w:tcPr>
            <w:tcW w:w="290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b/>
                <w:bCs/>
              </w:rPr>
              <w:t>Термін надання рахунку за спожиту електричну енергію та строк його оплати</w:t>
            </w:r>
          </w:p>
        </w:tc>
        <w:tc>
          <w:tcPr>
            <w:tcW w:w="63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t>Рахунок виставляється Споживачу після закінчення розрахункового періоду. Оплата здійснюється протягом не більше ніж 10 (десяти) робочих днів з моменту підписання Акта приймання-передачі електричної енергії на підставі рахунку Постачальника.</w:t>
            </w:r>
          </w:p>
        </w:tc>
      </w:tr>
      <w:tr>
        <w:trPr/>
        <w:tc>
          <w:tcPr>
            <w:tcW w:w="4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jc w:val="center"/>
              <w:rPr/>
            </w:pPr>
            <w:r>
              <w:rPr/>
              <w:t>5</w:t>
            </w:r>
          </w:p>
        </w:tc>
        <w:tc>
          <w:tcPr>
            <w:tcW w:w="290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b/>
                <w:bCs/>
              </w:rPr>
              <w:t>Спосіб оплати послуг з розподілу електричної енергії</w:t>
            </w:r>
          </w:p>
        </w:tc>
        <w:tc>
          <w:tcPr>
            <w:tcW w:w="63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t>Напряму оператору системи розподілу, з яким Споживач має укладений договір про розподіл (передачу) електричної енергії.</w:t>
            </w:r>
          </w:p>
        </w:tc>
      </w:tr>
      <w:tr>
        <w:trPr/>
        <w:tc>
          <w:tcPr>
            <w:tcW w:w="4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jc w:val="center"/>
              <w:rPr/>
            </w:pPr>
            <w:r>
              <w:rPr/>
              <w:t>6</w:t>
            </w:r>
          </w:p>
        </w:tc>
        <w:tc>
          <w:tcPr>
            <w:tcW w:w="290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b/>
                <w:bCs/>
              </w:rPr>
              <w:t>Обсяг електричної енергії</w:t>
            </w:r>
          </w:p>
        </w:tc>
        <w:tc>
          <w:tcPr>
            <w:tcW w:w="63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t>Обсяг електричної енергії, що постачається Споживачу, не є заздалегідь заявленим (фіксованим) і визначається фактичними показниками комерційного обліку електричної енергії за відповідний розрахунковий період.</w:t>
            </w:r>
          </w:p>
        </w:tc>
      </w:tr>
      <w:tr>
        <w:trPr/>
        <w:tc>
          <w:tcPr>
            <w:tcW w:w="4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jc w:val="center"/>
              <w:rPr/>
            </w:pPr>
            <w:r>
              <w:rPr/>
              <w:t>7</w:t>
            </w:r>
          </w:p>
        </w:tc>
        <w:tc>
          <w:tcPr>
            <w:tcW w:w="290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b/>
                <w:bCs/>
              </w:rPr>
              <w:t>Вимоги до обліку електричної енергії</w:t>
            </w:r>
          </w:p>
        </w:tc>
        <w:tc>
          <w:tcPr>
            <w:tcW w:w="63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t>Облік електричної енергії Споживача повинен відповідати вимогам Кодексу комерційного обліку електричної енергії та іншим нормативним документам.</w:t>
            </w:r>
          </w:p>
        </w:tc>
      </w:tr>
      <w:tr>
        <w:trPr/>
        <w:tc>
          <w:tcPr>
            <w:tcW w:w="4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jc w:val="center"/>
              <w:rPr/>
            </w:pPr>
            <w:r>
              <w:rPr/>
              <w:t>8</w:t>
            </w:r>
          </w:p>
        </w:tc>
        <w:tc>
          <w:tcPr>
            <w:tcW w:w="290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b/>
                <w:bCs/>
              </w:rPr>
              <w:t>Розмір пені за порушення строку оплати</w:t>
            </w:r>
          </w:p>
        </w:tc>
        <w:tc>
          <w:tcPr>
            <w:tcW w:w="63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t>Пеня у розмірі 0,1% від суми простроченого платежу за кожний день прострочення, але не більше подвійної облікової ставки Національного банку України, що діяла у період, за який сплачується пеня.</w:t>
            </w:r>
          </w:p>
        </w:tc>
      </w:tr>
      <w:tr>
        <w:trPr/>
        <w:tc>
          <w:tcPr>
            <w:tcW w:w="4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jc w:val="center"/>
              <w:rPr/>
            </w:pPr>
            <w:r>
              <w:rPr/>
              <w:t>9</w:t>
            </w:r>
          </w:p>
        </w:tc>
        <w:tc>
          <w:tcPr>
            <w:tcW w:w="290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b/>
                <w:bCs/>
              </w:rPr>
              <w:t>Розмір компенсації Споживачу за недодержання Постачальником показників комерційної якості надання послуг</w:t>
            </w:r>
          </w:p>
        </w:tc>
        <w:tc>
          <w:tcPr>
            <w:tcW w:w="63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t>Компенсація надається у порядку та розмірах, затверджених Регулятором і оприлюднених на офіційному вебсайті Постачальника.</w:t>
            </w:r>
          </w:p>
        </w:tc>
      </w:tr>
      <w:tr>
        <w:trPr/>
        <w:tc>
          <w:tcPr>
            <w:tcW w:w="4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jc w:val="center"/>
              <w:rPr/>
            </w:pPr>
            <w:r>
              <w:rPr/>
              <w:t>10</w:t>
            </w:r>
          </w:p>
        </w:tc>
        <w:tc>
          <w:tcPr>
            <w:tcW w:w="290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b/>
                <w:bCs/>
              </w:rPr>
              <w:t>Розмір штрафу за дострокове розірвання Договору у випадках, не передбачених умовами Договору</w:t>
            </w:r>
          </w:p>
        </w:tc>
        <w:tc>
          <w:tcPr>
            <w:tcW w:w="63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t>Штраф не встановлюється.</w:t>
            </w:r>
          </w:p>
        </w:tc>
      </w:tr>
      <w:tr>
        <w:trPr/>
        <w:tc>
          <w:tcPr>
            <w:tcW w:w="4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jc w:val="center"/>
              <w:rPr/>
            </w:pPr>
            <w:r>
              <w:rPr/>
              <w:t>11</w:t>
            </w:r>
          </w:p>
        </w:tc>
        <w:tc>
          <w:tcPr>
            <w:tcW w:w="290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b/>
                <w:bCs/>
              </w:rPr>
              <w:t>Можливість постачання захищеним споживачам</w:t>
            </w:r>
          </w:p>
        </w:tc>
        <w:tc>
          <w:tcPr>
            <w:tcW w:w="63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t>Постачання захищеним споживачам за цією Комерційною пропозицією неможливе.</w:t>
            </w:r>
          </w:p>
        </w:tc>
      </w:tr>
      <w:tr>
        <w:trPr/>
        <w:tc>
          <w:tcPr>
            <w:tcW w:w="4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jc w:val="center"/>
              <w:rPr/>
            </w:pPr>
            <w:r>
              <w:rPr/>
              <w:t>12</w:t>
            </w:r>
          </w:p>
        </w:tc>
        <w:tc>
          <w:tcPr>
            <w:tcW w:w="290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b/>
                <w:bCs/>
              </w:rPr>
              <w:t>Термін дії Договору та умови пролонгації</w:t>
            </w:r>
          </w:p>
        </w:tc>
        <w:tc>
          <w:tcPr>
            <w:tcW w:w="63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t>Договір вступає в дію з моменту його підписання (приєднання Споживача) та скріплення печатками Сторін (за наявності) і діє до 31 грудня календарного року, в якому його укладено (включно), але в будь-якому разі до повного виконання Сторонами своїх зобов'язань у частині розрахунків.</w:t>
            </w:r>
          </w:p>
          <w:p>
            <w:pPr>
              <w:pStyle w:val="Normal"/>
              <w:widowControl w:val="false"/>
              <w:spacing w:lineRule="auto" w:line="259" w:before="0" w:after="80"/>
              <w:rPr/>
            </w:pPr>
            <w:r>
              <w:rPr/>
              <w:t>Якщо жодна із Сторін не повідомить іншу Сторону письмово про припинення дії Договору не пізніше ніж за 20 календарних днів до закінчення строку його дії, Договір вважається продовженим (пролонгованим) на кожний наступний календарний рік на тих самих умовах.</w:t>
            </w:r>
          </w:p>
        </w:tc>
      </w:tr>
      <w:tr>
        <w:trPr/>
        <w:tc>
          <w:tcPr>
            <w:tcW w:w="4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jc w:val="center"/>
              <w:rPr/>
            </w:pPr>
            <w:r>
              <w:rPr/>
              <w:t>13</w:t>
            </w:r>
          </w:p>
        </w:tc>
        <w:tc>
          <w:tcPr>
            <w:tcW w:w="290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b/>
                <w:bCs/>
              </w:rPr>
              <w:t>Дата та підпис Споживача</w:t>
            </w:r>
          </w:p>
        </w:tc>
        <w:tc>
          <w:tcPr>
            <w:tcW w:w="6350" w:type="dxa"/>
            <w:tcBorders>
              <w:top w:val="single" w:sz="2" w:space="0" w:color="999999"/>
              <w:left w:val="single" w:sz="2" w:space="0" w:color="999999"/>
              <w:bottom w:val="single" w:sz="2" w:space="0" w:color="999999"/>
              <w:right w:val="single" w:sz="2" w:space="0" w:color="999999"/>
            </w:tcBorders>
            <w:shd w:color="auto" w:fill="F2F2F2" w:val="clear"/>
            <w:vAlign w:val="center"/>
          </w:tcPr>
          <w:p>
            <w:pPr>
              <w:pStyle w:val="Normal"/>
              <w:widowControl w:val="false"/>
              <w:spacing w:lineRule="auto" w:line="259" w:before="0" w:after="80"/>
              <w:rPr/>
            </w:pPr>
            <w:r>
              <w:rPr/>
              <w:t>Засвідчується власноручним підписом Споживача під час підписання цього Додатку (Заяви-приєднання).</w:t>
            </w:r>
          </w:p>
        </w:tc>
      </w:tr>
      <w:tr>
        <w:trPr/>
        <w:tc>
          <w:tcPr>
            <w:tcW w:w="4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jc w:val="center"/>
              <w:rPr/>
            </w:pPr>
            <w:r>
              <w:rPr/>
              <w:t>14</w:t>
            </w:r>
          </w:p>
        </w:tc>
        <w:tc>
          <w:tcPr>
            <w:tcW w:w="290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b/>
                <w:bCs/>
              </w:rPr>
              <w:t>Наявність пільг, субсидій</w:t>
            </w:r>
          </w:p>
        </w:tc>
        <w:tc>
          <w:tcPr>
            <w:tcW w:w="63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t>Не передбачено.</w:t>
            </w:r>
          </w:p>
        </w:tc>
      </w:tr>
      <w:tr>
        <w:trPr/>
        <w:tc>
          <w:tcPr>
            <w:tcW w:w="4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r>
          </w:p>
        </w:tc>
        <w:tc>
          <w:tcPr>
            <w:tcW w:w="290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b/>
                <w:bCs/>
              </w:rPr>
              <w:t>Підписи Сторін</w:t>
            </w:r>
          </w:p>
        </w:tc>
        <w:tc>
          <w:tcPr>
            <w:tcW w:w="6350" w:type="dxa"/>
            <w:tcBorders>
              <w:top w:val="single" w:sz="2" w:space="0" w:color="999999"/>
              <w:left w:val="single" w:sz="2" w:space="0" w:color="999999"/>
              <w:bottom w:val="single" w:sz="2" w:space="0" w:color="999999"/>
              <w:right w:val="single" w:sz="2" w:space="0" w:color="999999"/>
            </w:tcBorders>
            <w:vAlign w:val="center"/>
          </w:tcPr>
          <w:p>
            <w:pPr>
              <w:pStyle w:val="Normal"/>
              <w:widowControl w:val="false"/>
              <w:spacing w:lineRule="auto" w:line="259" w:before="0" w:after="80"/>
              <w:rPr/>
            </w:pPr>
            <w:r>
              <w:rPr/>
              <w:t>Споживач: _____________________ / ____________________</w:t>
            </w:r>
          </w:p>
          <w:p>
            <w:pPr>
              <w:pStyle w:val="Normal"/>
              <w:widowControl w:val="false"/>
              <w:spacing w:lineRule="auto" w:line="259" w:before="0" w:after="80"/>
              <w:rPr/>
            </w:pPr>
            <w:r>
              <w:rPr/>
            </w:r>
          </w:p>
          <w:p>
            <w:pPr>
              <w:pStyle w:val="Normal"/>
              <w:widowControl w:val="false"/>
              <w:spacing w:lineRule="auto" w:line="259" w:before="0" w:after="80"/>
              <w:rPr/>
            </w:pPr>
            <w:r>
              <w:rPr/>
              <w:t>Постачальник: Директор ТОВ «УКРГАЗТРЕЙДИНГ» _____________________ / С.О. Слюсаренко</w:t>
            </w:r>
          </w:p>
        </w:tc>
      </w:tr>
    </w:tbl>
    <w:p>
      <w:pPr>
        <w:pStyle w:val="Normal"/>
        <w:rPr/>
      </w:pPr>
      <w:r>
        <w:rPr/>
      </w:r>
    </w:p>
    <w:sectPr>
      <w:type w:val="nextPage"/>
      <w:pgSz w:w="11906" w:h="16838"/>
      <w:pgMar w:left="1134" w:right="850" w:gutter="0" w:header="0" w:top="1134" w:footer="0" w:bottom="993"/>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2"/>
        <w:szCs w:val="22"/>
        <w:lang w:val="uk-UA" w:eastAsia="uk-UA"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2"/>
      <w:szCs w:val="22"/>
      <w:lang w:val="uk-UA" w:eastAsia="uk-UA" w:bidi="ar-SA"/>
    </w:rPr>
  </w:style>
  <w:style w:type="paragraph" w:styleId="1">
    <w:name w:val="Heading 1"/>
    <w:uiPriority w:val="9"/>
    <w:qFormat/>
    <w:pPr>
      <w:widowControl/>
      <w:bidi w:val="0"/>
      <w:spacing w:before="0" w:after="0"/>
      <w:jc w:val="left"/>
      <w:outlineLvl w:val="0"/>
    </w:pPr>
    <w:rPr>
      <w:rFonts w:ascii="Times New Roman" w:hAnsi="Times New Roman" w:eastAsia="Times New Roman" w:cs="Times New Roman"/>
      <w:color w:val="2E74B5"/>
      <w:kern w:val="0"/>
      <w:sz w:val="32"/>
      <w:szCs w:val="32"/>
      <w:lang w:val="uk-UA" w:eastAsia="uk-UA" w:bidi="ar-SA"/>
    </w:rPr>
  </w:style>
  <w:style w:type="paragraph" w:styleId="2">
    <w:name w:val="Heading 2"/>
    <w:uiPriority w:val="9"/>
    <w:semiHidden/>
    <w:unhideWhenUsed/>
    <w:qFormat/>
    <w:pPr>
      <w:widowControl/>
      <w:bidi w:val="0"/>
      <w:spacing w:before="0" w:after="0"/>
      <w:jc w:val="left"/>
      <w:outlineLvl w:val="1"/>
    </w:pPr>
    <w:rPr>
      <w:rFonts w:ascii="Times New Roman" w:hAnsi="Times New Roman" w:eastAsia="Times New Roman" w:cs="Times New Roman"/>
      <w:color w:val="2E74B5"/>
      <w:kern w:val="0"/>
      <w:sz w:val="26"/>
      <w:szCs w:val="26"/>
      <w:lang w:val="uk-UA" w:eastAsia="uk-UA" w:bidi="ar-SA"/>
    </w:rPr>
  </w:style>
  <w:style w:type="paragraph" w:styleId="3">
    <w:name w:val="Heading 3"/>
    <w:uiPriority w:val="9"/>
    <w:semiHidden/>
    <w:unhideWhenUsed/>
    <w:qFormat/>
    <w:pPr>
      <w:widowControl/>
      <w:bidi w:val="0"/>
      <w:spacing w:before="0" w:after="0"/>
      <w:jc w:val="left"/>
      <w:outlineLvl w:val="2"/>
    </w:pPr>
    <w:rPr>
      <w:rFonts w:ascii="Times New Roman" w:hAnsi="Times New Roman" w:eastAsia="Times New Roman" w:cs="Times New Roman"/>
      <w:color w:val="1F4D78"/>
      <w:kern w:val="0"/>
      <w:sz w:val="24"/>
      <w:szCs w:val="24"/>
      <w:lang w:val="uk-UA" w:eastAsia="uk-UA" w:bidi="ar-SA"/>
    </w:rPr>
  </w:style>
  <w:style w:type="paragraph" w:styleId="4">
    <w:name w:val="Heading 4"/>
    <w:uiPriority w:val="9"/>
    <w:semiHidden/>
    <w:unhideWhenUsed/>
    <w:qFormat/>
    <w:pPr>
      <w:widowControl/>
      <w:bidi w:val="0"/>
      <w:spacing w:before="0" w:after="0"/>
      <w:jc w:val="left"/>
      <w:outlineLvl w:val="3"/>
    </w:pPr>
    <w:rPr>
      <w:rFonts w:ascii="Times New Roman" w:hAnsi="Times New Roman" w:eastAsia="Times New Roman" w:cs="Times New Roman"/>
      <w:i/>
      <w:iCs/>
      <w:color w:val="2E74B5"/>
      <w:kern w:val="0"/>
      <w:sz w:val="22"/>
      <w:szCs w:val="22"/>
      <w:lang w:val="uk-UA" w:eastAsia="uk-UA" w:bidi="ar-SA"/>
    </w:rPr>
  </w:style>
  <w:style w:type="paragraph" w:styleId="5">
    <w:name w:val="Heading 5"/>
    <w:uiPriority w:val="9"/>
    <w:semiHidden/>
    <w:unhideWhenUsed/>
    <w:qFormat/>
    <w:pPr>
      <w:widowControl/>
      <w:bidi w:val="0"/>
      <w:spacing w:before="0" w:after="0"/>
      <w:jc w:val="left"/>
      <w:outlineLvl w:val="4"/>
    </w:pPr>
    <w:rPr>
      <w:rFonts w:ascii="Times New Roman" w:hAnsi="Times New Roman" w:eastAsia="Times New Roman" w:cs="Times New Roman"/>
      <w:color w:val="2E74B5"/>
      <w:kern w:val="0"/>
      <w:sz w:val="22"/>
      <w:szCs w:val="22"/>
      <w:lang w:val="uk-UA" w:eastAsia="uk-UA" w:bidi="ar-SA"/>
    </w:rPr>
  </w:style>
  <w:style w:type="paragraph" w:styleId="6">
    <w:name w:val="Heading 6"/>
    <w:uiPriority w:val="9"/>
    <w:semiHidden/>
    <w:unhideWhenUsed/>
    <w:qFormat/>
    <w:pPr>
      <w:widowControl/>
      <w:bidi w:val="0"/>
      <w:spacing w:before="0" w:after="0"/>
      <w:jc w:val="left"/>
      <w:outlineLvl w:val="5"/>
    </w:pPr>
    <w:rPr>
      <w:rFonts w:ascii="Times New Roman" w:hAnsi="Times New Roman" w:eastAsia="Times New Roman" w:cs="Times New Roman"/>
      <w:color w:val="1F4D78"/>
      <w:kern w:val="0"/>
      <w:sz w:val="22"/>
      <w:szCs w:val="22"/>
      <w:lang w:val="uk-UA" w:eastAsia="uk-UA" w:bidi="ar-SA"/>
    </w:rPr>
  </w:style>
  <w:style w:type="character" w:styleId="DefaultParagraphFont" w:default="1">
    <w:name w:val="Default Paragraph Font"/>
    <w:uiPriority w:val="1"/>
    <w:semiHidden/>
    <w:unhideWhenUsed/>
    <w:qFormat/>
    <w:rPr/>
  </w:style>
  <w:style w:type="character" w:styleId="Style8">
    <w:name w:val="Гіперпосилання"/>
    <w:uiPriority w:val="99"/>
    <w:unhideWhenUsed/>
    <w:rPr>
      <w:color w:val="0563C1"/>
      <w:u w:val="single"/>
    </w:rPr>
  </w:style>
  <w:style w:type="character" w:styleId="Style9">
    <w:name w:val="Символи виноски"/>
    <w:uiPriority w:val="99"/>
    <w:semiHidden/>
    <w:unhideWhenUsed/>
    <w:qFormat/>
    <w:rPr>
      <w:vertAlign w:val="superscript"/>
    </w:rPr>
  </w:style>
  <w:style w:type="character" w:styleId="Style10">
    <w:name w:val="Прив'язка виноски"/>
    <w:rPr>
      <w:vertAlign w:val="superscript"/>
    </w:rPr>
  </w:style>
  <w:style w:type="character" w:styleId="Style11" w:customStyle="1">
    <w:name w:val="Текст виноски Знак"/>
    <w:uiPriority w:val="99"/>
    <w:semiHidden/>
    <w:unhideWhenUsed/>
    <w:qFormat/>
    <w:rPr>
      <w:sz w:val="20"/>
      <w:szCs w:val="20"/>
    </w:rPr>
  </w:style>
  <w:style w:type="character" w:styleId="Style12">
    <w:name w:val="Символи кінцевої виноски"/>
    <w:uiPriority w:val="99"/>
    <w:semiHidden/>
    <w:unhideWhenUsed/>
    <w:qFormat/>
    <w:rPr>
      <w:vertAlign w:val="superscript"/>
    </w:rPr>
  </w:style>
  <w:style w:type="character" w:styleId="Style13">
    <w:name w:val="Прив'язка кінцевої виноски"/>
    <w:rPr>
      <w:vertAlign w:val="superscript"/>
    </w:rPr>
  </w:style>
  <w:style w:type="character" w:styleId="Style14" w:customStyle="1">
    <w:name w:val="Текст кінцевої виноски Знак"/>
    <w:uiPriority w:val="99"/>
    <w:semiHidden/>
    <w:unhideWhenUsed/>
    <w:qFormat/>
    <w:rPr>
      <w:sz w:val="20"/>
      <w:szCs w:val="20"/>
    </w:rPr>
  </w:style>
  <w:style w:type="paragraph" w:styleId="Style15">
    <w:name w:val="Заголовок"/>
    <w:basedOn w:val="Normal"/>
    <w:next w:val="Style16"/>
    <w:qFormat/>
    <w:pPr>
      <w:keepNext w:val="true"/>
      <w:spacing w:before="240" w:after="120"/>
    </w:pPr>
    <w:rPr>
      <w:rFonts w:ascii="Liberation Sans" w:hAnsi="Liberation Sans" w:eastAsia="Noto Sans CJK SC" w:cs="Lohit Devanagari"/>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Lohit Devanagari"/>
    </w:rPr>
  </w:style>
  <w:style w:type="paragraph" w:styleId="Style18">
    <w:name w:val="Caption"/>
    <w:basedOn w:val="Normal"/>
    <w:qFormat/>
    <w:pPr>
      <w:suppressLineNumbers/>
      <w:spacing w:before="120" w:after="120"/>
    </w:pPr>
    <w:rPr>
      <w:rFonts w:cs="Lohit Devanagari"/>
      <w:i/>
      <w:iCs/>
      <w:sz w:val="24"/>
      <w:szCs w:val="24"/>
    </w:rPr>
  </w:style>
  <w:style w:type="paragraph" w:styleId="Style19">
    <w:name w:val="Покажчик"/>
    <w:basedOn w:val="Normal"/>
    <w:qFormat/>
    <w:pPr>
      <w:suppressLineNumbers/>
    </w:pPr>
    <w:rPr>
      <w:rFonts w:cs="Lohit Devanagari"/>
    </w:rPr>
  </w:style>
  <w:style w:type="paragraph" w:styleId="Style20">
    <w:name w:val="Title"/>
    <w:uiPriority w:val="10"/>
    <w:qFormat/>
    <w:pPr>
      <w:widowControl/>
      <w:bidi w:val="0"/>
      <w:spacing w:before="0" w:after="0"/>
      <w:jc w:val="left"/>
    </w:pPr>
    <w:rPr>
      <w:rFonts w:ascii="Times New Roman" w:hAnsi="Times New Roman" w:eastAsia="Times New Roman" w:cs="Times New Roman"/>
      <w:color w:val="auto"/>
      <w:kern w:val="0"/>
      <w:sz w:val="56"/>
      <w:szCs w:val="56"/>
      <w:lang w:val="uk-UA" w:eastAsia="uk-UA" w:bidi="ar-SA"/>
    </w:rPr>
  </w:style>
  <w:style w:type="paragraph" w:styleId="11" w:customStyle="1">
    <w:name w:val="Строгий1"/>
    <w:qFormat/>
    <w:pPr>
      <w:widowControl/>
      <w:bidi w:val="0"/>
      <w:spacing w:before="0" w:after="0"/>
      <w:jc w:val="left"/>
    </w:pPr>
    <w:rPr>
      <w:rFonts w:ascii="Times New Roman" w:hAnsi="Times New Roman" w:eastAsia="Times New Roman" w:cs="Times New Roman"/>
      <w:b/>
      <w:bCs/>
      <w:color w:val="auto"/>
      <w:kern w:val="0"/>
      <w:sz w:val="22"/>
      <w:szCs w:val="22"/>
      <w:lang w:val="uk-UA" w:eastAsia="uk-UA" w:bidi="ar-SA"/>
    </w:rPr>
  </w:style>
  <w:style w:type="paragraph" w:styleId="ListParagraph">
    <w:name w:val="List Paragraph"/>
    <w:qFormat/>
    <w:pPr>
      <w:widowControl/>
      <w:bidi w:val="0"/>
      <w:spacing w:before="0" w:after="0"/>
      <w:jc w:val="left"/>
    </w:pPr>
    <w:rPr>
      <w:rFonts w:ascii="Times New Roman" w:hAnsi="Times New Roman" w:eastAsia="Times New Roman" w:cs="Times New Roman"/>
      <w:color w:val="auto"/>
      <w:kern w:val="0"/>
      <w:sz w:val="22"/>
      <w:szCs w:val="22"/>
      <w:lang w:val="uk-UA" w:eastAsia="uk-UA" w:bidi="ar-SA"/>
    </w:rPr>
  </w:style>
  <w:style w:type="paragraph" w:styleId="Style21">
    <w:name w:val="Footnote Text"/>
    <w:link w:val="Style11"/>
    <w:uiPriority w:val="99"/>
    <w:semiHidden/>
    <w:unhideWhenUsed/>
    <w:pPr>
      <w:widowControl/>
      <w:bidi w:val="0"/>
      <w:spacing w:before="0" w:after="0"/>
      <w:jc w:val="left"/>
    </w:pPr>
    <w:rPr>
      <w:rFonts w:ascii="Times New Roman" w:hAnsi="Times New Roman" w:eastAsia="Times New Roman" w:cs="Times New Roman"/>
      <w:color w:val="auto"/>
      <w:kern w:val="0"/>
      <w:sz w:val="20"/>
      <w:szCs w:val="20"/>
      <w:lang w:val="uk-UA" w:eastAsia="uk-UA" w:bidi="ar-SA"/>
    </w:rPr>
  </w:style>
  <w:style w:type="paragraph" w:styleId="Style22">
    <w:name w:val="Endnote Text"/>
    <w:link w:val="Style14"/>
    <w:uiPriority w:val="99"/>
    <w:semiHidden/>
    <w:unhideWhenUsed/>
    <w:pPr>
      <w:widowControl/>
      <w:bidi w:val="0"/>
      <w:spacing w:before="0" w:after="0"/>
      <w:jc w:val="left"/>
    </w:pPr>
    <w:rPr>
      <w:rFonts w:ascii="Times New Roman" w:hAnsi="Times New Roman" w:eastAsia="Times New Roman" w:cs="Times New Roman"/>
      <w:color w:val="auto"/>
      <w:kern w:val="0"/>
      <w:sz w:val="20"/>
      <w:szCs w:val="20"/>
      <w:lang w:val="uk-UA" w:eastAsia="uk-UA"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Application>LibreOffice/7.3.7.2$Linux_X86_64 LibreOffice_project/30$Build-2</Application>
  <AppVersion>15.0000</AppVersion>
  <Pages>2</Pages>
  <Words>565</Words>
  <Characters>3823</Characters>
  <CharactersWithSpaces>4352</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2026-10-14T13:28:00Z</dcterms:created>
  <dc:creator>Un-named</dc:creator>
  <dc:description/>
  <dc:language>uk-UA</dc:language>
  <cp:lastModifiedBy>Electro Post</cp:lastModifiedBy>
  <dcterms:modified xsi:type="dcterms:W3CDTF">2026-10-14T14:42:00Z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